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1972CB" w:rsidRDefault="006544C4" w:rsidP="001972CB">
      <w:pPr>
        <w:jc w:val="center"/>
        <w:rPr>
          <w:lang w:val="fr-FR"/>
        </w:rPr>
      </w:pPr>
      <w:bookmarkStart w:id="0" w:name="_GoBack"/>
      <w:bookmarkEnd w:id="0"/>
    </w:p>
    <w:p w:rsidR="0094178F" w:rsidRPr="001972CB" w:rsidRDefault="0094178F" w:rsidP="001972CB">
      <w:pPr>
        <w:jc w:val="center"/>
        <w:rPr>
          <w:sz w:val="4"/>
          <w:szCs w:val="4"/>
          <w:lang w:val="fr-FR"/>
        </w:rPr>
      </w:pPr>
    </w:p>
    <w:p w:rsidR="006544C4" w:rsidRPr="001972CB" w:rsidRDefault="00900D1E" w:rsidP="001972CB">
      <w:pPr>
        <w:pStyle w:val="DecHTitle"/>
        <w:rPr>
          <w:lang w:val="fr-FR"/>
        </w:rPr>
      </w:pPr>
      <w:r w:rsidRPr="001972CB">
        <w:rPr>
          <w:szCs w:val="24"/>
          <w:lang w:val="fr-FR"/>
        </w:rPr>
        <w:t>PREMIÈRE SECTION</w:t>
      </w:r>
    </w:p>
    <w:p w:rsidR="006544C4" w:rsidRPr="001972CB" w:rsidRDefault="006544C4" w:rsidP="001972CB">
      <w:pPr>
        <w:pStyle w:val="DecHTitle"/>
        <w:rPr>
          <w:caps/>
          <w:sz w:val="32"/>
          <w:lang w:val="fr-FR"/>
        </w:rPr>
      </w:pPr>
      <w:r w:rsidRPr="001972CB">
        <w:rPr>
          <w:lang w:val="fr-FR"/>
        </w:rPr>
        <w:t>DÉCISION</w:t>
      </w:r>
    </w:p>
    <w:p w:rsidR="006544C4" w:rsidRPr="001972CB" w:rsidRDefault="00900D1E" w:rsidP="001972CB">
      <w:pPr>
        <w:pStyle w:val="ECHRTitleCentre2"/>
        <w:rPr>
          <w:lang w:val="fr-FR"/>
        </w:rPr>
      </w:pPr>
      <w:r w:rsidRPr="001972CB">
        <w:rPr>
          <w:lang w:val="fr-FR"/>
        </w:rPr>
        <w:t>Requête n</w:t>
      </w:r>
      <w:r w:rsidRPr="001972CB">
        <w:rPr>
          <w:vertAlign w:val="superscript"/>
          <w:lang w:val="fr-FR"/>
        </w:rPr>
        <w:t>o</w:t>
      </w:r>
      <w:r w:rsidR="006544C4" w:rsidRPr="001972CB">
        <w:rPr>
          <w:lang w:val="fr-FR"/>
        </w:rPr>
        <w:t xml:space="preserve"> </w:t>
      </w:r>
      <w:r w:rsidRPr="001972CB">
        <w:rPr>
          <w:lang w:val="fr-FR"/>
        </w:rPr>
        <w:t>17799/10</w:t>
      </w:r>
      <w:r w:rsidR="006544C4" w:rsidRPr="001972CB">
        <w:rPr>
          <w:lang w:val="fr-FR"/>
        </w:rPr>
        <w:br/>
      </w:r>
      <w:r w:rsidRPr="001972CB">
        <w:rPr>
          <w:lang w:val="fr-FR"/>
        </w:rPr>
        <w:t xml:space="preserve">Vito RIZZELLO </w:t>
      </w:r>
      <w:r w:rsidR="006544C4" w:rsidRPr="001972CB">
        <w:rPr>
          <w:lang w:val="fr-FR"/>
        </w:rPr>
        <w:t xml:space="preserve">contre </w:t>
      </w:r>
      <w:r w:rsidRPr="001972CB">
        <w:rPr>
          <w:lang w:val="fr-FR"/>
        </w:rPr>
        <w:t>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Italie</w:t>
      </w:r>
      <w:r w:rsidRPr="001972CB">
        <w:rPr>
          <w:lang w:val="fr-FR"/>
        </w:rPr>
        <w:br/>
        <w:t>et 8 autres requêtes</w:t>
      </w:r>
      <w:r w:rsidRPr="001972CB">
        <w:rPr>
          <w:lang w:val="fr-FR"/>
        </w:rPr>
        <w:br/>
        <w:t>(voir liste en annexe)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La Cour européenne des droits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homme (première section), siégeant le 20 février 2018en un comité composé de :</w:t>
      </w:r>
    </w:p>
    <w:p w:rsidR="00900D1E" w:rsidRPr="001972CB" w:rsidRDefault="00900D1E" w:rsidP="001972CB">
      <w:pPr>
        <w:pStyle w:val="ECHRDecisionBody"/>
        <w:rPr>
          <w:lang w:val="fr-FR"/>
        </w:rPr>
      </w:pPr>
      <w:r w:rsidRPr="001972CB">
        <w:rPr>
          <w:lang w:val="fr-FR"/>
        </w:rPr>
        <w:tab/>
        <w:t>Kristina Pardalos,</w:t>
      </w:r>
      <w:r w:rsidRPr="001972CB">
        <w:rPr>
          <w:i/>
          <w:lang w:val="fr-FR"/>
        </w:rPr>
        <w:t xml:space="preserve"> présidente,</w:t>
      </w:r>
      <w:r w:rsidRPr="001972CB">
        <w:rPr>
          <w:i/>
          <w:lang w:val="fr-FR"/>
        </w:rPr>
        <w:br/>
      </w:r>
      <w:r w:rsidRPr="001972CB">
        <w:rPr>
          <w:lang w:val="fr-FR"/>
        </w:rPr>
        <w:tab/>
        <w:t>Pauliine Koskelo,</w:t>
      </w:r>
      <w:r w:rsidRPr="001972CB">
        <w:rPr>
          <w:i/>
          <w:lang w:val="fr-FR"/>
        </w:rPr>
        <w:br/>
      </w:r>
      <w:r w:rsidRPr="001972CB">
        <w:rPr>
          <w:lang w:val="fr-FR"/>
        </w:rPr>
        <w:tab/>
        <w:t>Tim Eicke,</w:t>
      </w:r>
      <w:r w:rsidRPr="001972CB">
        <w:rPr>
          <w:i/>
          <w:lang w:val="fr-FR"/>
        </w:rPr>
        <w:t xml:space="preserve"> juges,</w:t>
      </w:r>
    </w:p>
    <w:p w:rsidR="00900D1E" w:rsidRPr="001972CB" w:rsidRDefault="00900D1E" w:rsidP="001972CB">
      <w:pPr>
        <w:pStyle w:val="ECHRDecisionBody"/>
        <w:rPr>
          <w:lang w:val="fr-FR"/>
        </w:rPr>
      </w:pPr>
      <w:r w:rsidRPr="001972CB">
        <w:rPr>
          <w:lang w:val="fr-FR"/>
        </w:rPr>
        <w:t xml:space="preserve">et de Renata Degener, </w:t>
      </w:r>
      <w:r w:rsidRPr="001972CB">
        <w:rPr>
          <w:i/>
          <w:lang w:val="fr-FR"/>
        </w:rPr>
        <w:t>greffière adjointe</w:t>
      </w:r>
      <w:r w:rsidRPr="001972CB">
        <w:rPr>
          <w:i/>
          <w:iCs/>
          <w:lang w:val="fr-FR"/>
        </w:rPr>
        <w:t xml:space="preserve"> d</w:t>
      </w:r>
      <w:r w:rsidRPr="001972CB">
        <w:rPr>
          <w:i/>
          <w:lang w:val="fr-FR"/>
        </w:rPr>
        <w:t>e section,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Vu les requêtes susmentionnées introduites aux dates indiquées dans le tableau joint en annexe,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Vu la déclaration déposée par le gouvernement défendeur le 7 septembre 2017 et invitant la Cour à rayer les requêtes du rôle ;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Après en avoir délibéré, rend la décision suivante :</w:t>
      </w:r>
    </w:p>
    <w:p w:rsidR="00900D1E" w:rsidRPr="001972CB" w:rsidRDefault="00900D1E" w:rsidP="001972CB">
      <w:pPr>
        <w:pStyle w:val="ECHRTitle1"/>
        <w:rPr>
          <w:lang w:val="fr-FR"/>
        </w:rPr>
      </w:pPr>
      <w:r w:rsidRPr="001972CB">
        <w:rPr>
          <w:lang w:val="fr-FR"/>
        </w:rPr>
        <w:t>FAITS ET PROCÉDURE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La liste des parties requérantes, représentées par M</w:t>
      </w:r>
      <w:r w:rsidRPr="001972CB">
        <w:rPr>
          <w:vertAlign w:val="superscript"/>
          <w:lang w:val="fr-FR"/>
        </w:rPr>
        <w:t>es</w:t>
      </w:r>
      <w:r w:rsidRPr="001972CB">
        <w:rPr>
          <w:lang w:val="fr-FR"/>
        </w:rPr>
        <w:t xml:space="preserve"> A. Tommasi et P. A. Luceri, avocats à Lecce, figure en annexe.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Le gouvernement italien (« le Gouvernement ») a été représenté par son agent, M</w:t>
      </w:r>
      <w:r w:rsidRPr="001972CB">
        <w:rPr>
          <w:vertAlign w:val="superscript"/>
          <w:lang w:val="fr-FR"/>
        </w:rPr>
        <w:t xml:space="preserve">me </w:t>
      </w:r>
      <w:r w:rsidRPr="001972CB">
        <w:rPr>
          <w:lang w:val="fr-FR"/>
        </w:rPr>
        <w:t>E. Spatafora, et par son coagent, M</w:t>
      </w:r>
      <w:r w:rsidRPr="001972CB">
        <w:rPr>
          <w:vertAlign w:val="superscript"/>
          <w:lang w:val="fr-FR"/>
        </w:rPr>
        <w:t>me</w:t>
      </w:r>
      <w:r w:rsidRPr="001972CB">
        <w:rPr>
          <w:lang w:val="fr-FR"/>
        </w:rPr>
        <w:t xml:space="preserve"> P. Accardo.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Invoquant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article 6 de la Convention, les requérants alléguaient que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adoption de la loi n</w:t>
      </w:r>
      <w:r w:rsidRPr="001972CB">
        <w:rPr>
          <w:vertAlign w:val="superscript"/>
          <w:lang w:val="fr-FR"/>
        </w:rPr>
        <w:t>o</w:t>
      </w:r>
      <w:r w:rsidRPr="001972CB">
        <w:rPr>
          <w:lang w:val="fr-FR"/>
        </w:rPr>
        <w:t xml:space="preserve"> 296/2006 avait constitué une ingérence du législateur dans des procédures judiciaires, et ce en violation de leur droit à un procès équitable.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 xml:space="preserve">Les requêtes </w:t>
      </w:r>
      <w:r w:rsidRPr="001972CB">
        <w:rPr>
          <w:bCs/>
          <w:szCs w:val="24"/>
          <w:lang w:val="fr-FR" w:eastAsia="en-GB"/>
        </w:rPr>
        <w:t>avaient été communiquées</w:t>
      </w:r>
      <w:r w:rsidRPr="001972CB">
        <w:rPr>
          <w:lang w:val="fr-FR"/>
        </w:rPr>
        <w:t xml:space="preserve"> </w:t>
      </w:r>
      <w:r w:rsidRPr="001972CB">
        <w:rPr>
          <w:szCs w:val="24"/>
          <w:lang w:val="fr-FR" w:eastAsia="en-GB"/>
        </w:rPr>
        <w:t>a</w:t>
      </w:r>
      <w:r w:rsidRPr="001972CB">
        <w:rPr>
          <w:color w:val="000000"/>
          <w:szCs w:val="24"/>
          <w:lang w:val="fr-FR" w:eastAsia="en-GB"/>
        </w:rPr>
        <w:t>u Gouvernement</w:t>
      </w:r>
      <w:r w:rsidRPr="001972CB">
        <w:rPr>
          <w:color w:val="0000FF"/>
          <w:szCs w:val="24"/>
          <w:lang w:val="fr-FR" w:eastAsia="en-GB"/>
        </w:rPr>
        <w:t>.</w:t>
      </w:r>
    </w:p>
    <w:p w:rsidR="00900D1E" w:rsidRPr="001972CB" w:rsidRDefault="00900D1E" w:rsidP="001972CB">
      <w:pPr>
        <w:pStyle w:val="ECHRTitle1"/>
        <w:rPr>
          <w:lang w:val="fr-FR"/>
        </w:rPr>
      </w:pPr>
      <w:r w:rsidRPr="001972CB">
        <w:rPr>
          <w:lang w:val="fr-FR"/>
        </w:rPr>
        <w:lastRenderedPageBreak/>
        <w:t>EN DROIT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Compte tenu de la similitude des requêtes quant aux faits et aux questions de fond qu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elles posent, la Cour décide de les joindre et de les examiner conjointement.</w:t>
      </w:r>
    </w:p>
    <w:p w:rsidR="00900D1E" w:rsidRPr="001972CB" w:rsidRDefault="00900D1E" w:rsidP="001972CB">
      <w:pPr>
        <w:pStyle w:val="ECHRPara"/>
        <w:rPr>
          <w:szCs w:val="24"/>
          <w:lang w:val="fr-FR"/>
        </w:rPr>
      </w:pPr>
      <w:r w:rsidRPr="001972CB">
        <w:rPr>
          <w:lang w:val="fr-FR"/>
        </w:rPr>
        <w:t>Après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 xml:space="preserve">échec des tentatives de règlement amiable, </w:t>
      </w:r>
      <w:r w:rsidRPr="001972CB">
        <w:rPr>
          <w:szCs w:val="24"/>
          <w:lang w:val="fr-FR"/>
        </w:rPr>
        <w:t xml:space="preserve">le Gouvernement a fait parvenir à la Cour une déclaration unilatérale datée du </w:t>
      </w:r>
      <w:r w:rsidRPr="001972CB">
        <w:rPr>
          <w:lang w:val="fr-FR"/>
        </w:rPr>
        <w:t xml:space="preserve">7 septembre 2017, </w:t>
      </w:r>
      <w:r w:rsidRPr="001972CB">
        <w:rPr>
          <w:szCs w:val="24"/>
          <w:lang w:val="fr-FR"/>
        </w:rPr>
        <w:t>ainsi libellée en ses parties pertinentes en l</w:t>
      </w:r>
      <w:r w:rsidR="001972CB" w:rsidRPr="001972CB">
        <w:rPr>
          <w:szCs w:val="24"/>
          <w:lang w:val="fr-FR"/>
        </w:rPr>
        <w:t>’</w:t>
      </w:r>
      <w:r w:rsidRPr="001972CB">
        <w:rPr>
          <w:szCs w:val="24"/>
          <w:lang w:val="fr-FR"/>
        </w:rPr>
        <w:t>espèce :</w:t>
      </w:r>
    </w:p>
    <w:p w:rsidR="00900D1E" w:rsidRPr="001972CB" w:rsidRDefault="00900D1E" w:rsidP="001972CB">
      <w:pPr>
        <w:pStyle w:val="ECHRParaQuote"/>
        <w:rPr>
          <w:lang w:val="fr-FR"/>
        </w:rPr>
      </w:pPr>
      <w:r w:rsidRPr="001972CB">
        <w:rPr>
          <w:lang w:val="fr-FR"/>
        </w:rPr>
        <w:t>« Le Gouvernement italien reconnaît que les requérants indiqués dans la liste annexée ont subi la violation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article 6 § 1 de la Convention, selon les principes exprimés par la Cour EDH dans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 xml:space="preserve">affaire </w:t>
      </w:r>
      <w:r w:rsidRPr="001972CB">
        <w:rPr>
          <w:i/>
          <w:lang w:val="fr-FR"/>
        </w:rPr>
        <w:t>Maggio et autres</w:t>
      </w:r>
      <w:r w:rsidRPr="001972CB">
        <w:rPr>
          <w:lang w:val="fr-FR"/>
        </w:rPr>
        <w:t>, suite à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intervention rétroactive de la loi n</w:t>
      </w:r>
      <w:r w:rsidRPr="001972CB">
        <w:rPr>
          <w:vertAlign w:val="superscript"/>
          <w:lang w:val="fr-FR"/>
        </w:rPr>
        <w:t>o</w:t>
      </w:r>
      <w:r w:rsidRPr="001972CB">
        <w:rPr>
          <w:lang w:val="fr-FR"/>
        </w:rPr>
        <w:t xml:space="preserve"> 296/2006, sur les procédures en cours.</w:t>
      </w:r>
    </w:p>
    <w:p w:rsidR="00900D1E" w:rsidRPr="001972CB" w:rsidRDefault="00900D1E" w:rsidP="001972CB">
      <w:pPr>
        <w:pStyle w:val="ECHRParaQuote"/>
        <w:rPr>
          <w:lang w:val="fr-FR"/>
        </w:rPr>
      </w:pPr>
      <w:r w:rsidRPr="001972CB">
        <w:rPr>
          <w:lang w:val="fr-FR"/>
        </w:rPr>
        <w:t>Le Gouvernement, en se conformant à ces principes, offre, pour redresser ladite violation, les montants indiqués pour chacun dans la liste annexée, correspondant :</w:t>
      </w:r>
    </w:p>
    <w:p w:rsidR="00900D1E" w:rsidRPr="001972CB" w:rsidRDefault="00900D1E" w:rsidP="001972CB">
      <w:pPr>
        <w:pStyle w:val="ECHRParaQuote"/>
        <w:rPr>
          <w:lang w:val="fr-FR"/>
        </w:rPr>
      </w:pPr>
      <w:r w:rsidRPr="001972CB">
        <w:rPr>
          <w:lang w:val="fr-FR"/>
        </w:rPr>
        <w:t>- à titre de dommage matériel, 5% de la différence entre ce qui aurait pu être payé à titre de pension, en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absence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intervention rétroactive en cours de procédure de la loi n</w:t>
      </w:r>
      <w:r w:rsidRPr="001972CB">
        <w:rPr>
          <w:vertAlign w:val="superscript"/>
          <w:lang w:val="fr-FR"/>
        </w:rPr>
        <w:t>o</w:t>
      </w:r>
      <w:r w:rsidRPr="001972CB">
        <w:rPr>
          <w:lang w:val="fr-FR"/>
        </w:rPr>
        <w:t xml:space="preserve"> 296/2006, et le montant effectivement perçu par les intéressés, à titre de dommage matériel pour perte de chances ;</w:t>
      </w:r>
    </w:p>
    <w:p w:rsidR="00900D1E" w:rsidRPr="001972CB" w:rsidRDefault="00900D1E" w:rsidP="001972CB">
      <w:pPr>
        <w:pStyle w:val="ECHRParaQuote"/>
        <w:rPr>
          <w:lang w:val="fr-FR"/>
        </w:rPr>
      </w:pPr>
      <w:r w:rsidRPr="001972CB">
        <w:rPr>
          <w:lang w:val="fr-FR"/>
        </w:rPr>
        <w:t>- à titre de dommage moral, 2.500 euros en cas de dommage matériel se montant jusqu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à 3.000 euros, ou de 4.000 euros en cas de dommage matériel se montant entre 3.000 et 5.000 euros ou de 5.000 euros en cas de dommage matériel supérieur à 5.000 euros ;</w:t>
      </w:r>
    </w:p>
    <w:p w:rsidR="00900D1E" w:rsidRPr="001972CB" w:rsidRDefault="00900D1E" w:rsidP="001972CB">
      <w:pPr>
        <w:pStyle w:val="ECHRParaQuote"/>
        <w:rPr>
          <w:lang w:val="fr-FR"/>
        </w:rPr>
      </w:pPr>
      <w:r w:rsidRPr="001972CB">
        <w:rPr>
          <w:lang w:val="fr-FR"/>
        </w:rPr>
        <w:t>- les frais et dépens à hauteur de 500 euros.</w:t>
      </w:r>
    </w:p>
    <w:p w:rsidR="00900D1E" w:rsidRPr="001972CB" w:rsidRDefault="00900D1E" w:rsidP="001972CB">
      <w:pPr>
        <w:pStyle w:val="ECHRParaQuote"/>
        <w:rPr>
          <w:lang w:val="fr-FR"/>
        </w:rPr>
      </w:pPr>
      <w:r w:rsidRPr="001972CB">
        <w:rPr>
          <w:lang w:val="fr-FR"/>
        </w:rPr>
        <w:t>Ces sommes seront payées dans les trois mois suivant la date de la notification de la décision de la Cour rendue conformément à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article 37 § l de la Convention européenne des droits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 xml:space="preserve">homme. </w:t>
      </w:r>
      <w:r w:rsidRPr="001972CB">
        <w:rPr>
          <w:rFonts w:cstheme="minorHAnsi"/>
          <w:lang w:val="fr-FR"/>
        </w:rPr>
        <w:t>À</w:t>
      </w:r>
      <w:r w:rsidRPr="001972CB">
        <w:rPr>
          <w:lang w:val="fr-FR"/>
        </w:rPr>
        <w:t xml:space="preserve"> défaut de règlement dans ledit délai, le Gouvernement s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engage à verser, à compter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expiration de celui-ci et jusqu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</w:t>
      </w:r>
    </w:p>
    <w:p w:rsidR="00900D1E" w:rsidRPr="001972CB" w:rsidRDefault="00900D1E" w:rsidP="001972CB">
      <w:pPr>
        <w:pStyle w:val="ECHRParaQuote"/>
        <w:rPr>
          <w:lang w:val="fr-FR"/>
        </w:rPr>
      </w:pPr>
      <w:r w:rsidRPr="001972CB">
        <w:rPr>
          <w:lang w:val="fr-FR"/>
        </w:rPr>
        <w:t>Ce versement vaudra règlement définitif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affaire.</w:t>
      </w:r>
    </w:p>
    <w:p w:rsidR="00900D1E" w:rsidRPr="001972CB" w:rsidRDefault="00900D1E" w:rsidP="001972CB">
      <w:pPr>
        <w:pStyle w:val="ECHRParaQuote"/>
        <w:rPr>
          <w:lang w:val="fr-FR"/>
        </w:rPr>
      </w:pPr>
      <w:r w:rsidRPr="001972CB">
        <w:rPr>
          <w:lang w:val="fr-FR"/>
        </w:rPr>
        <w:t>Le Gouvernement estime que ces sommes constituent un redressement adéquat de la violation à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aune de la jurisprudence de la Cour en la matière.</w:t>
      </w:r>
    </w:p>
    <w:p w:rsidR="00900D1E" w:rsidRPr="001972CB" w:rsidRDefault="00900D1E" w:rsidP="001972CB">
      <w:pPr>
        <w:pStyle w:val="ECHRParaQuote"/>
        <w:rPr>
          <w:lang w:val="fr-FR"/>
        </w:rPr>
      </w:pPr>
      <w:r w:rsidRPr="001972CB">
        <w:rPr>
          <w:lang w:val="fr-FR"/>
        </w:rPr>
        <w:t>Le Gouvernement invite respectueusement la Cour à dire qu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il ne se justifie plus de poursuivre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examen des requêtes et de les rayer du rôle conformément à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article 37 de la Convention, car les conditions prévues par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article 62 A du règlement de la Cour sont remplies.»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szCs w:val="24"/>
          <w:lang w:val="fr-FR"/>
        </w:rPr>
        <w:t xml:space="preserve">La déclaration du Gouvernement a été portée à la connaissance des parties requérantes, qui ont été invitées à présenter leurs observations éventuelles à ce sujet avant le 11 octobre 2017. </w:t>
      </w:r>
      <w:r w:rsidRPr="001972CB">
        <w:rPr>
          <w:lang w:val="fr-FR"/>
        </w:rPr>
        <w:t>Aucune communication n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est parvenue au greffe dans ce délai.</w:t>
      </w:r>
    </w:p>
    <w:p w:rsidR="00900D1E" w:rsidRPr="001972CB" w:rsidRDefault="00900D1E" w:rsidP="001972CB">
      <w:pPr>
        <w:pStyle w:val="ECHRPara"/>
        <w:rPr>
          <w:szCs w:val="24"/>
          <w:lang w:val="fr-FR"/>
        </w:rPr>
      </w:pPr>
      <w:r w:rsidRPr="001972CB">
        <w:rPr>
          <w:szCs w:val="24"/>
          <w:lang w:val="fr-FR"/>
        </w:rPr>
        <w:t>La Cour rappelle que, en vertu de l</w:t>
      </w:r>
      <w:r w:rsidR="001972CB" w:rsidRPr="001972CB">
        <w:rPr>
          <w:szCs w:val="24"/>
          <w:lang w:val="fr-FR"/>
        </w:rPr>
        <w:t>’</w:t>
      </w:r>
      <w:r w:rsidRPr="001972CB">
        <w:rPr>
          <w:szCs w:val="24"/>
          <w:lang w:val="fr-FR"/>
        </w:rPr>
        <w:t xml:space="preserve">article </w:t>
      </w:r>
      <w:r w:rsidRPr="001972CB">
        <w:rPr>
          <w:lang w:val="fr-FR"/>
        </w:rPr>
        <w:t>37 de la Convention, elle peut décider, à tout moment de la procédure, de rayer une requête du rôle lorsque les circonstances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amènent à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 xml:space="preserve">une des conclusions énoncées aux alinéas a), </w:t>
      </w:r>
      <w:r w:rsidRPr="001972CB">
        <w:rPr>
          <w:lang w:val="fr-FR"/>
        </w:rPr>
        <w:lastRenderedPageBreak/>
        <w:t>b) ou c) du paragraphe 1 de cet article.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article 37 § 1 c) lui permet en particulier de rayer une affaire du rôle lorsque :</w:t>
      </w:r>
    </w:p>
    <w:p w:rsidR="00900D1E" w:rsidRPr="001972CB" w:rsidRDefault="00900D1E" w:rsidP="001972CB">
      <w:pPr>
        <w:pStyle w:val="ECHRParaQuote"/>
        <w:rPr>
          <w:szCs w:val="24"/>
          <w:lang w:val="fr-FR"/>
        </w:rPr>
      </w:pPr>
      <w:r w:rsidRPr="001972CB">
        <w:rPr>
          <w:lang w:val="fr-FR"/>
        </w:rPr>
        <w:t>« (...) pour tout autre motif dont la Cour constate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existence, il ne se justifie plus de poursuivre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examen de la requête. »</w:t>
      </w:r>
    </w:p>
    <w:p w:rsidR="00900D1E" w:rsidRPr="001972CB" w:rsidRDefault="00900D1E" w:rsidP="001972CB">
      <w:pPr>
        <w:pStyle w:val="ECHRPara"/>
        <w:rPr>
          <w:szCs w:val="24"/>
          <w:lang w:val="fr-FR"/>
        </w:rPr>
      </w:pPr>
      <w:r w:rsidRPr="001972CB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1972CB" w:rsidRPr="001972CB">
        <w:rPr>
          <w:szCs w:val="24"/>
          <w:lang w:val="fr-FR"/>
        </w:rPr>
        <w:t>’</w:t>
      </w:r>
      <w:r w:rsidRPr="001972CB">
        <w:rPr>
          <w:szCs w:val="24"/>
          <w:lang w:val="fr-FR"/>
        </w:rPr>
        <w:t>article 37 § 1 c) sur la base d</w:t>
      </w:r>
      <w:r w:rsidR="001972CB" w:rsidRPr="001972CB">
        <w:rPr>
          <w:szCs w:val="24"/>
          <w:lang w:val="fr-FR"/>
        </w:rPr>
        <w:t>’</w:t>
      </w:r>
      <w:r w:rsidRPr="001972CB">
        <w:rPr>
          <w:szCs w:val="24"/>
          <w:lang w:val="fr-FR"/>
        </w:rPr>
        <w:t>une déclaration unilatérale du Gouvernement défendeur, même si le requérant souhaite que l</w:t>
      </w:r>
      <w:r w:rsidR="001972CB" w:rsidRPr="001972CB">
        <w:rPr>
          <w:szCs w:val="24"/>
          <w:lang w:val="fr-FR"/>
        </w:rPr>
        <w:t>’</w:t>
      </w:r>
      <w:r w:rsidRPr="001972CB">
        <w:rPr>
          <w:szCs w:val="24"/>
          <w:lang w:val="fr-FR"/>
        </w:rPr>
        <w:t>examen de l</w:t>
      </w:r>
      <w:r w:rsidR="001972CB" w:rsidRPr="001972CB">
        <w:rPr>
          <w:szCs w:val="24"/>
          <w:lang w:val="fr-FR"/>
        </w:rPr>
        <w:t>’</w:t>
      </w:r>
      <w:r w:rsidRPr="001972CB">
        <w:rPr>
          <w:szCs w:val="24"/>
          <w:lang w:val="fr-FR"/>
        </w:rPr>
        <w:t>affaire se poursuive ou s</w:t>
      </w:r>
      <w:r w:rsidR="001972CB" w:rsidRPr="001972CB">
        <w:rPr>
          <w:szCs w:val="24"/>
          <w:lang w:val="fr-FR"/>
        </w:rPr>
        <w:t>’</w:t>
      </w:r>
      <w:r w:rsidRPr="001972CB">
        <w:rPr>
          <w:szCs w:val="24"/>
          <w:lang w:val="fr-FR"/>
        </w:rPr>
        <w:t>il ne s</w:t>
      </w:r>
      <w:r w:rsidR="001972CB" w:rsidRPr="001972CB">
        <w:rPr>
          <w:szCs w:val="24"/>
          <w:lang w:val="fr-FR"/>
        </w:rPr>
        <w:t>’</w:t>
      </w:r>
      <w:r w:rsidRPr="001972CB">
        <w:rPr>
          <w:szCs w:val="24"/>
          <w:lang w:val="fr-FR"/>
        </w:rPr>
        <w:t>exprime pas à ce sujet.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À</w:t>
      </w:r>
      <w:r w:rsidRPr="001972CB">
        <w:rPr>
          <w:szCs w:val="24"/>
          <w:lang w:val="fr-FR"/>
        </w:rPr>
        <w:t xml:space="preserve"> cette fin, la Cour doit examiner de près la déclaration du Gouvernement à la lumière des principes que consacre sa jurisprudence, en particulier l</w:t>
      </w:r>
      <w:r w:rsidR="001972CB" w:rsidRPr="001972CB">
        <w:rPr>
          <w:szCs w:val="24"/>
          <w:lang w:val="fr-FR"/>
        </w:rPr>
        <w:t>’</w:t>
      </w:r>
      <w:r w:rsidRPr="001972CB">
        <w:rPr>
          <w:szCs w:val="24"/>
          <w:lang w:val="fr-FR"/>
        </w:rPr>
        <w:t xml:space="preserve">arrêt </w:t>
      </w:r>
      <w:r w:rsidRPr="001972CB">
        <w:rPr>
          <w:i/>
          <w:lang w:val="fr-FR"/>
        </w:rPr>
        <w:t>Tahsin Acar c. Turquie</w:t>
      </w:r>
      <w:r w:rsidRPr="001972CB">
        <w:rPr>
          <w:iCs/>
          <w:lang w:val="fr-FR"/>
        </w:rPr>
        <w:t xml:space="preserve"> ((question préliminaire) </w:t>
      </w:r>
      <w:r w:rsidRPr="001972CB">
        <w:rPr>
          <w:lang w:val="fr-FR"/>
        </w:rPr>
        <w:t>[GC],</w:t>
      </w:r>
      <w:r w:rsidRPr="001972CB">
        <w:rPr>
          <w:i/>
          <w:lang w:val="fr-FR"/>
        </w:rPr>
        <w:t xml:space="preserve"> </w:t>
      </w:r>
      <w:r w:rsidRPr="001972CB">
        <w:rPr>
          <w:lang w:val="fr-FR"/>
        </w:rPr>
        <w:t>n</w:t>
      </w:r>
      <w:r w:rsidRPr="001972CB">
        <w:rPr>
          <w:vertAlign w:val="superscript"/>
          <w:lang w:val="fr-FR"/>
        </w:rPr>
        <w:t>o </w:t>
      </w:r>
      <w:r w:rsidRPr="001972CB">
        <w:rPr>
          <w:lang w:val="fr-FR"/>
        </w:rPr>
        <w:t>26307/95, §§ 75</w:t>
      </w:r>
      <w:r w:rsidRPr="001972CB">
        <w:rPr>
          <w:lang w:val="fr-FR"/>
        </w:rPr>
        <w:noBreakHyphen/>
        <w:t>77, CEDH 2003</w:t>
      </w:r>
      <w:r w:rsidRPr="001972CB">
        <w:rPr>
          <w:lang w:val="fr-FR"/>
        </w:rPr>
        <w:noBreakHyphen/>
        <w:t xml:space="preserve">VI), </w:t>
      </w:r>
      <w:r w:rsidRPr="001972CB">
        <w:rPr>
          <w:i/>
          <w:szCs w:val="24"/>
          <w:lang w:val="fr-FR"/>
        </w:rPr>
        <w:t xml:space="preserve">WAZA Spółka z o.o. c. Pologne </w:t>
      </w:r>
      <w:r w:rsidRPr="001972CB">
        <w:rPr>
          <w:szCs w:val="24"/>
          <w:lang w:val="fr-FR"/>
        </w:rPr>
        <w:t>((déc.), n</w:t>
      </w:r>
      <w:r w:rsidRPr="001972CB">
        <w:rPr>
          <w:szCs w:val="24"/>
          <w:vertAlign w:val="superscript"/>
          <w:lang w:val="fr-FR"/>
        </w:rPr>
        <w:t>o</w:t>
      </w:r>
      <w:r w:rsidRPr="001972CB">
        <w:rPr>
          <w:szCs w:val="24"/>
          <w:lang w:val="fr-FR"/>
        </w:rPr>
        <w:t xml:space="preserve"> 11602/02, 26 juin 2007), et </w:t>
      </w:r>
      <w:r w:rsidRPr="001972CB">
        <w:rPr>
          <w:i/>
          <w:szCs w:val="24"/>
          <w:lang w:val="fr-FR"/>
        </w:rPr>
        <w:t>Sulwińska c. Pologne</w:t>
      </w:r>
      <w:r w:rsidRPr="001972CB">
        <w:rPr>
          <w:szCs w:val="24"/>
          <w:lang w:val="fr-FR"/>
        </w:rPr>
        <w:t xml:space="preserve"> ((déc.), n</w:t>
      </w:r>
      <w:r w:rsidRPr="001972CB">
        <w:rPr>
          <w:szCs w:val="24"/>
          <w:vertAlign w:val="superscript"/>
          <w:lang w:val="fr-FR"/>
        </w:rPr>
        <w:t>o</w:t>
      </w:r>
      <w:r w:rsidRPr="001972CB">
        <w:rPr>
          <w:szCs w:val="24"/>
          <w:lang w:val="fr-FR"/>
        </w:rPr>
        <w:t> 28953/03, 18 septembre 2007</w:t>
      </w:r>
      <w:r w:rsidRPr="001972CB">
        <w:rPr>
          <w:lang w:val="fr-FR"/>
        </w:rPr>
        <w:t>).</w:t>
      </w:r>
    </w:p>
    <w:p w:rsidR="00900D1E" w:rsidRPr="001972CB" w:rsidRDefault="00900D1E" w:rsidP="001972CB">
      <w:pPr>
        <w:pStyle w:val="ECHRPara"/>
        <w:rPr>
          <w:i/>
          <w:lang w:val="fr-FR"/>
        </w:rPr>
      </w:pPr>
      <w:r w:rsidRPr="001972CB">
        <w:rPr>
          <w:lang w:val="fr-FR"/>
        </w:rPr>
        <w:t>La Cour a établi dans un certain nombre d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affaires, dont celles dirigées contre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Italie, sa pratique en ce qui concerne les griefs tirés de la violation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article 6 de la Convention en raison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application de la loi d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interprétation authentique n</w:t>
      </w:r>
      <w:r w:rsidRPr="001972CB">
        <w:rPr>
          <w:vertAlign w:val="superscript"/>
          <w:lang w:val="fr-FR"/>
        </w:rPr>
        <w:t>o</w:t>
      </w:r>
      <w:r w:rsidRPr="001972CB">
        <w:rPr>
          <w:lang w:val="fr-FR"/>
        </w:rPr>
        <w:t> 296/2006 dans des procédures judiciaires (</w:t>
      </w:r>
      <w:r w:rsidRPr="001972CB">
        <w:rPr>
          <w:i/>
          <w:lang w:val="fr-FR"/>
        </w:rPr>
        <w:t>Maggio et autres c. Italie</w:t>
      </w:r>
      <w:r w:rsidRPr="001972CB">
        <w:rPr>
          <w:lang w:val="fr-FR"/>
        </w:rPr>
        <w:t>, n</w:t>
      </w:r>
      <w:r w:rsidRPr="001972CB">
        <w:rPr>
          <w:vertAlign w:val="superscript"/>
          <w:lang w:val="fr-FR"/>
        </w:rPr>
        <w:t>os</w:t>
      </w:r>
      <w:r w:rsidRPr="001972CB">
        <w:rPr>
          <w:lang w:val="fr-FR"/>
        </w:rPr>
        <w:t xml:space="preserve"> 46286/09, 52851/08, 53727/08, 54486/08 et 56001/08</w:t>
      </w:r>
      <w:r w:rsidRPr="001972CB">
        <w:rPr>
          <w:snapToGrid w:val="0"/>
          <w:szCs w:val="24"/>
          <w:lang w:val="fr-FR"/>
        </w:rPr>
        <w:t xml:space="preserve">, 31 </w:t>
      </w:r>
      <w:r w:rsidRPr="001972CB">
        <w:rPr>
          <w:szCs w:val="24"/>
          <w:lang w:val="fr-FR"/>
        </w:rPr>
        <w:t>mai</w:t>
      </w:r>
      <w:r w:rsidRPr="001972CB">
        <w:rPr>
          <w:snapToGrid w:val="0"/>
          <w:szCs w:val="24"/>
          <w:lang w:val="fr-FR"/>
        </w:rPr>
        <w:t xml:space="preserve"> 2011, </w:t>
      </w:r>
      <w:r w:rsidRPr="001972CB">
        <w:rPr>
          <w:i/>
          <w:lang w:val="fr-FR"/>
        </w:rPr>
        <w:t>Stefanetti et autres c. Italie</w:t>
      </w:r>
      <w:r w:rsidRPr="001972CB">
        <w:rPr>
          <w:lang w:val="fr-FR"/>
        </w:rPr>
        <w:t>, n</w:t>
      </w:r>
      <w:r w:rsidRPr="001972CB">
        <w:rPr>
          <w:vertAlign w:val="superscript"/>
          <w:lang w:val="fr-FR"/>
        </w:rPr>
        <w:t>os</w:t>
      </w:r>
      <w:r w:rsidRPr="001972CB">
        <w:rPr>
          <w:lang w:val="fr-FR"/>
        </w:rPr>
        <w:t xml:space="preserve"> 21838/10, 21849/10, 21852/10, 21822/10, 21860/10, 21863/10, 21869/10 et 21870/10</w:t>
      </w:r>
      <w:r w:rsidRPr="001972CB">
        <w:rPr>
          <w:snapToGrid w:val="0"/>
          <w:color w:val="000000"/>
          <w:lang w:val="fr-FR"/>
        </w:rPr>
        <w:t xml:space="preserve">, 15 </w:t>
      </w:r>
      <w:r w:rsidRPr="001972CB">
        <w:rPr>
          <w:color w:val="000000"/>
          <w:lang w:val="fr-FR"/>
        </w:rPr>
        <w:t>avril</w:t>
      </w:r>
      <w:r w:rsidRPr="001972CB">
        <w:rPr>
          <w:snapToGrid w:val="0"/>
          <w:color w:val="000000"/>
          <w:lang w:val="fr-FR"/>
        </w:rPr>
        <w:t xml:space="preserve"> 2014, </w:t>
      </w:r>
      <w:r w:rsidRPr="001972CB">
        <w:rPr>
          <w:i/>
          <w:lang w:val="fr-FR"/>
        </w:rPr>
        <w:t>Cataldo et autres c. Italie</w:t>
      </w:r>
      <w:r w:rsidRPr="001972CB">
        <w:rPr>
          <w:lang w:val="fr-FR"/>
        </w:rPr>
        <w:t>, n</w:t>
      </w:r>
      <w:r w:rsidRPr="001972CB">
        <w:rPr>
          <w:vertAlign w:val="superscript"/>
          <w:lang w:val="fr-FR"/>
        </w:rPr>
        <w:t>os</w:t>
      </w:r>
      <w:r w:rsidRPr="001972CB">
        <w:rPr>
          <w:lang w:val="fr-FR"/>
        </w:rPr>
        <w:t xml:space="preserve"> 54425/08, 58361/08, 58464/08, 60505/08, 60524/08 et 61827/08</w:t>
      </w:r>
      <w:r w:rsidRPr="001972CB">
        <w:rPr>
          <w:snapToGrid w:val="0"/>
          <w:lang w:val="fr-FR"/>
        </w:rPr>
        <w:t>, 24 </w:t>
      </w:r>
      <w:r w:rsidRPr="001972CB">
        <w:rPr>
          <w:lang w:val="fr-FR"/>
        </w:rPr>
        <w:t>juin</w:t>
      </w:r>
      <w:r w:rsidRPr="001972CB">
        <w:rPr>
          <w:snapToGrid w:val="0"/>
          <w:lang w:val="fr-FR"/>
        </w:rPr>
        <w:t xml:space="preserve"> 2014, et </w:t>
      </w:r>
      <w:r w:rsidRPr="001972CB">
        <w:rPr>
          <w:i/>
          <w:lang w:val="fr-FR"/>
        </w:rPr>
        <w:t>Biraghi et autres c. Italie</w:t>
      </w:r>
      <w:r w:rsidRPr="001972CB">
        <w:rPr>
          <w:lang w:val="fr-FR"/>
        </w:rPr>
        <w:t>, n</w:t>
      </w:r>
      <w:r w:rsidRPr="001972CB">
        <w:rPr>
          <w:vertAlign w:val="superscript"/>
          <w:lang w:val="fr-FR"/>
        </w:rPr>
        <w:t>os</w:t>
      </w:r>
      <w:r w:rsidRPr="001972CB">
        <w:rPr>
          <w:lang w:val="fr-FR"/>
        </w:rPr>
        <w:t xml:space="preserve"> 3429/09, 3430/09, 3431/09, 3432/09, 3992/09, 4100/09, 11561/09, 15609/09, 15637/09, 15649/09, 15761/09, 15783/09, 17111/09, 17371/09, 17374/09, 17378/09, 20787/09, 20799/09, 20830/09, 29007/09, 41408/09 et 41422/09</w:t>
      </w:r>
      <w:r w:rsidRPr="001972CB">
        <w:rPr>
          <w:snapToGrid w:val="0"/>
          <w:lang w:val="fr-FR"/>
        </w:rPr>
        <w:t xml:space="preserve">, 24 </w:t>
      </w:r>
      <w:r w:rsidRPr="001972CB">
        <w:rPr>
          <w:lang w:val="fr-FR"/>
        </w:rPr>
        <w:t>juin</w:t>
      </w:r>
      <w:r w:rsidRPr="001972CB">
        <w:rPr>
          <w:snapToGrid w:val="0"/>
          <w:lang w:val="fr-FR"/>
        </w:rPr>
        <w:t xml:space="preserve"> 2014).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Eu égard à la nature des concessions que renferme la déclaration du Gouvernement, ainsi qu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aux montants proposés pour dommages matériel et moral et pour frais et dépens – qu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elle estime raisonnables –, la Cour considère qu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il ne se justifie plus de poursuivre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examen des requêtes (article 37 § 1 c)).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En outre, à la lumière des considérations qui précèdent, et eu égard en particulier à sa jurisprudence claire et abondante à ce sujet, la Cour est d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avis que le respect des droits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homme garantis par la Convention et ses Protocoles n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exige pas qu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elle poursuive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 xml:space="preserve">examen des requêtes (article 37 § 1 </w:t>
      </w:r>
      <w:r w:rsidRPr="001972CB">
        <w:rPr>
          <w:i/>
          <w:iCs/>
          <w:lang w:val="fr-FR"/>
        </w:rPr>
        <w:t>in fine</w:t>
      </w:r>
      <w:r w:rsidRPr="001972CB">
        <w:rPr>
          <w:lang w:val="fr-FR"/>
        </w:rPr>
        <w:t>).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article 37 § 2 de la Convention (</w:t>
      </w:r>
      <w:r w:rsidRPr="001972CB">
        <w:rPr>
          <w:i/>
          <w:lang w:val="fr-FR"/>
        </w:rPr>
        <w:t>Josipović c. Serbie</w:t>
      </w:r>
      <w:r w:rsidRPr="001972CB">
        <w:rPr>
          <w:lang w:val="fr-FR"/>
        </w:rPr>
        <w:t xml:space="preserve"> (déc.), nº 18369/07, 4 mars 2008).</w:t>
      </w:r>
    </w:p>
    <w:p w:rsidR="00900D1E" w:rsidRPr="001972CB" w:rsidRDefault="00900D1E" w:rsidP="001972CB">
      <w:pPr>
        <w:pStyle w:val="ECHRPara"/>
        <w:rPr>
          <w:lang w:val="fr-FR"/>
        </w:rPr>
      </w:pPr>
      <w:r w:rsidRPr="001972CB">
        <w:rPr>
          <w:lang w:val="fr-FR"/>
        </w:rPr>
        <w:t>En conséquence, il convient de rayer les affaires du rôle.</w:t>
      </w:r>
    </w:p>
    <w:p w:rsidR="00900D1E" w:rsidRPr="001972CB" w:rsidRDefault="00900D1E" w:rsidP="001972CB">
      <w:pPr>
        <w:pStyle w:val="JuParaLast"/>
        <w:keepNext w:val="0"/>
        <w:keepLines w:val="0"/>
        <w:rPr>
          <w:lang w:val="fr-FR"/>
        </w:rPr>
      </w:pPr>
      <w:r w:rsidRPr="001972CB">
        <w:rPr>
          <w:lang w:val="fr-FR"/>
        </w:rPr>
        <w:lastRenderedPageBreak/>
        <w:t>Par ces motifs, la Cour,</w:t>
      </w:r>
      <w:r w:rsidRPr="001972CB">
        <w:rPr>
          <w:color w:val="000000"/>
          <w:lang w:val="fr-FR"/>
        </w:rPr>
        <w:t xml:space="preserve"> </w:t>
      </w:r>
      <w:r w:rsidRPr="001972CB">
        <w:rPr>
          <w:lang w:val="fr-FR"/>
        </w:rPr>
        <w:t>à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unanimité,</w:t>
      </w:r>
    </w:p>
    <w:p w:rsidR="00900D1E" w:rsidRPr="001972CB" w:rsidRDefault="00900D1E" w:rsidP="001972CB">
      <w:pPr>
        <w:pStyle w:val="JuParaLast"/>
        <w:keepNext w:val="0"/>
        <w:keepLines w:val="0"/>
        <w:rPr>
          <w:lang w:val="fr-FR"/>
        </w:rPr>
      </w:pPr>
      <w:r w:rsidRPr="001972CB">
        <w:rPr>
          <w:i/>
          <w:lang w:val="fr-FR"/>
        </w:rPr>
        <w:t>Décide</w:t>
      </w:r>
      <w:r w:rsidRPr="001972CB">
        <w:rPr>
          <w:lang w:val="fr-FR"/>
        </w:rPr>
        <w:t xml:space="preserve"> de joindre les requêtes ;</w:t>
      </w:r>
    </w:p>
    <w:p w:rsidR="00900D1E" w:rsidRPr="001972CB" w:rsidRDefault="00900D1E" w:rsidP="001972CB">
      <w:pPr>
        <w:pStyle w:val="DecList"/>
        <w:rPr>
          <w:lang w:val="fr-FR"/>
        </w:rPr>
      </w:pPr>
      <w:r w:rsidRPr="001972CB">
        <w:rPr>
          <w:i/>
          <w:lang w:val="fr-FR"/>
        </w:rPr>
        <w:t>Prend acte</w:t>
      </w:r>
      <w:r w:rsidRPr="001972CB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900D1E" w:rsidRPr="001972CB" w:rsidRDefault="00900D1E" w:rsidP="001972CB">
      <w:pPr>
        <w:pStyle w:val="DecList"/>
        <w:rPr>
          <w:lang w:val="fr-FR"/>
        </w:rPr>
      </w:pPr>
      <w:r w:rsidRPr="001972CB">
        <w:rPr>
          <w:i/>
          <w:lang w:val="fr-FR"/>
        </w:rPr>
        <w:t>Décide</w:t>
      </w:r>
      <w:r w:rsidRPr="001972CB">
        <w:rPr>
          <w:lang w:val="fr-FR"/>
        </w:rPr>
        <w:t xml:space="preserve"> de rayer les requêtes du rôle en application de l</w:t>
      </w:r>
      <w:r w:rsidR="001972CB" w:rsidRPr="001972CB">
        <w:rPr>
          <w:lang w:val="fr-FR"/>
        </w:rPr>
        <w:t>’</w:t>
      </w:r>
      <w:r w:rsidRPr="001972CB">
        <w:rPr>
          <w:lang w:val="fr-FR"/>
        </w:rPr>
        <w:t>article 37 § 1 c) de la Convention.</w:t>
      </w:r>
    </w:p>
    <w:p w:rsidR="006544C4" w:rsidRPr="001972CB" w:rsidRDefault="006544C4" w:rsidP="001972CB">
      <w:pPr>
        <w:pStyle w:val="ECHRPara"/>
        <w:rPr>
          <w:sz w:val="2"/>
          <w:szCs w:val="2"/>
          <w:lang w:val="fr-FR" w:eastAsia="en-GB"/>
        </w:rPr>
      </w:pPr>
    </w:p>
    <w:p w:rsidR="00050A32" w:rsidRPr="001972CB" w:rsidRDefault="00F40988" w:rsidP="001972CB">
      <w:pPr>
        <w:pStyle w:val="JuParaLast"/>
        <w:rPr>
          <w:lang w:val="fr-FR"/>
        </w:rPr>
      </w:pPr>
      <w:r w:rsidRPr="001972CB">
        <w:rPr>
          <w:szCs w:val="24"/>
          <w:lang w:val="fr-FR"/>
        </w:rPr>
        <w:t xml:space="preserve">Fait en français puis communiqué par écrit le </w:t>
      </w:r>
      <w:r w:rsidR="00900D1E" w:rsidRPr="001972CB">
        <w:rPr>
          <w:szCs w:val="24"/>
          <w:lang w:val="fr-FR"/>
        </w:rPr>
        <w:t>15 mars 2018</w:t>
      </w:r>
      <w:r w:rsidRPr="001972CB">
        <w:rPr>
          <w:lang w:val="fr-FR"/>
        </w:rPr>
        <w:t>.</w:t>
      </w:r>
    </w:p>
    <w:p w:rsidR="0091478F" w:rsidRPr="001972CB" w:rsidRDefault="00050A32" w:rsidP="001972CB">
      <w:pPr>
        <w:pStyle w:val="JuSigned"/>
        <w:rPr>
          <w:lang w:val="fr-FR"/>
        </w:rPr>
      </w:pPr>
      <w:r w:rsidRPr="001972CB">
        <w:rPr>
          <w:lang w:val="fr-FR"/>
        </w:rPr>
        <w:tab/>
      </w:r>
      <w:r w:rsidR="00900D1E" w:rsidRPr="001972CB">
        <w:rPr>
          <w:lang w:val="fr-FR"/>
        </w:rPr>
        <w:t>Renata Degener</w:t>
      </w:r>
      <w:r w:rsidR="0091478F" w:rsidRPr="001972CB">
        <w:rPr>
          <w:lang w:val="fr-FR"/>
        </w:rPr>
        <w:tab/>
      </w:r>
      <w:r w:rsidR="00900D1E" w:rsidRPr="001972CB">
        <w:rPr>
          <w:lang w:val="fr-FR"/>
        </w:rPr>
        <w:t>Kristina Pardalos</w:t>
      </w:r>
      <w:r w:rsidR="001972CB" w:rsidRPr="001972CB">
        <w:rPr>
          <w:lang w:val="fr-FR"/>
        </w:rPr>
        <w:br/>
        <w:t xml:space="preserve">Greffière </w:t>
      </w:r>
      <w:r w:rsidR="00900D1E" w:rsidRPr="001972CB">
        <w:rPr>
          <w:lang w:val="fr-FR"/>
        </w:rPr>
        <w:t>adjointe</w:t>
      </w:r>
      <w:r w:rsidR="0091478F" w:rsidRPr="001972CB">
        <w:rPr>
          <w:lang w:val="fr-FR"/>
        </w:rPr>
        <w:tab/>
      </w:r>
      <w:r w:rsidR="00900D1E" w:rsidRPr="001972CB">
        <w:rPr>
          <w:lang w:val="fr-FR"/>
        </w:rPr>
        <w:t>Présidente</w:t>
      </w:r>
    </w:p>
    <w:p w:rsidR="00900D1E" w:rsidRPr="001972CB" w:rsidRDefault="00900D1E" w:rsidP="001972CB">
      <w:pPr>
        <w:rPr>
          <w:lang w:val="fr-FR"/>
        </w:rPr>
      </w:pPr>
      <w:r w:rsidRPr="001972CB">
        <w:rPr>
          <w:lang w:val="fr-FR"/>
        </w:rPr>
        <w:br w:type="page"/>
      </w:r>
    </w:p>
    <w:p w:rsidR="004D15F3" w:rsidRPr="001972CB" w:rsidRDefault="00900D1E" w:rsidP="001972CB">
      <w:pPr>
        <w:pStyle w:val="JuTitle"/>
        <w:rPr>
          <w:lang w:val="fr-FR"/>
        </w:rPr>
      </w:pPr>
      <w:r w:rsidRPr="001972CB">
        <w:rPr>
          <w:lang w:val="fr-FR"/>
        </w:rPr>
        <w:lastRenderedPageBreak/>
        <w:t>ANNEXE</w:t>
      </w:r>
    </w:p>
    <w:tbl>
      <w:tblPr>
        <w:tblStyle w:val="ECHRListTable"/>
        <w:tblW w:w="10754" w:type="dxa"/>
        <w:jc w:val="center"/>
        <w:tblLook w:val="05E0" w:firstRow="1" w:lastRow="1" w:firstColumn="1" w:lastColumn="1" w:noHBand="0" w:noVBand="1"/>
      </w:tblPr>
      <w:tblGrid>
        <w:gridCol w:w="570"/>
        <w:gridCol w:w="1160"/>
        <w:gridCol w:w="1742"/>
        <w:gridCol w:w="2388"/>
        <w:gridCol w:w="1382"/>
        <w:gridCol w:w="1256"/>
        <w:gridCol w:w="1176"/>
        <w:gridCol w:w="1080"/>
      </w:tblGrid>
      <w:tr w:rsidR="00900D1E" w:rsidRPr="001972CB" w:rsidTr="006B7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7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 w:val="0"/>
                <w:lang w:val="fr-FR"/>
              </w:rPr>
            </w:pPr>
            <w:bookmarkStart w:id="1" w:name="TableStart"/>
            <w:bookmarkEnd w:id="1"/>
            <w:r w:rsidRPr="001972CB">
              <w:rPr>
                <w:rFonts w:cstheme="minorHAnsi"/>
                <w:b w:val="0"/>
                <w:lang w:val="fr-FR"/>
              </w:rPr>
              <w:t>No.</w:t>
            </w:r>
          </w:p>
        </w:tc>
        <w:tc>
          <w:tcPr>
            <w:tcW w:w="116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 w:val="0"/>
                <w:lang w:val="fr-FR"/>
              </w:rPr>
            </w:pPr>
            <w:r w:rsidRPr="001972CB">
              <w:rPr>
                <w:rFonts w:cstheme="minorHAnsi"/>
                <w:lang w:val="fr-FR"/>
              </w:rPr>
              <w:t>N</w:t>
            </w:r>
            <w:r w:rsidRPr="001972CB">
              <w:rPr>
                <w:rFonts w:cstheme="minorHAnsi"/>
                <w:vertAlign w:val="superscript"/>
                <w:lang w:val="fr-FR"/>
              </w:rPr>
              <w:t>o</w:t>
            </w:r>
            <w:r w:rsidRPr="001972CB">
              <w:rPr>
                <w:rFonts w:cstheme="minorHAnsi"/>
                <w:lang w:val="fr-FR"/>
              </w:rPr>
              <w:t xml:space="preserve"> requête</w:t>
            </w:r>
          </w:p>
        </w:tc>
        <w:tc>
          <w:tcPr>
            <w:tcW w:w="1742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 w:val="0"/>
                <w:lang w:val="fr-FR"/>
              </w:rPr>
            </w:pPr>
            <w:r w:rsidRPr="001972CB">
              <w:rPr>
                <w:rFonts w:cstheme="minorHAnsi"/>
                <w:lang w:val="fr-FR"/>
              </w:rPr>
              <w:t>Date d</w:t>
            </w:r>
            <w:r w:rsidR="001972CB" w:rsidRPr="001972CB">
              <w:rPr>
                <w:rFonts w:cstheme="minorHAnsi"/>
                <w:lang w:val="fr-FR"/>
              </w:rPr>
              <w:t>’</w:t>
            </w:r>
            <w:r w:rsidRPr="001972CB">
              <w:rPr>
                <w:rFonts w:cstheme="minorHAnsi"/>
                <w:lang w:val="fr-FR"/>
              </w:rPr>
              <w:t>introduction</w:t>
            </w: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lang w:val="fr-FR"/>
              </w:rPr>
            </w:pPr>
            <w:r w:rsidRPr="001972CB">
              <w:rPr>
                <w:rFonts w:cstheme="minorHAnsi"/>
                <w:lang w:val="fr-FR"/>
              </w:rPr>
              <w:t>Requérant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lang w:val="fr-FR"/>
              </w:rPr>
            </w:pPr>
            <w:r w:rsidRPr="001972CB">
              <w:rPr>
                <w:rFonts w:cstheme="minorHAnsi"/>
                <w:lang w:val="fr-FR"/>
              </w:rPr>
              <w:t>Date de naissance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b w:val="0"/>
                <w:lang w:val="fr-FR"/>
              </w:rPr>
            </w:pPr>
            <w:r w:rsidRPr="001972CB">
              <w:rPr>
                <w:rFonts w:cstheme="minorHAnsi"/>
                <w:lang w:val="fr-FR"/>
              </w:rPr>
              <w:t>Lieu de résidence</w:t>
            </w:r>
          </w:p>
        </w:tc>
        <w:tc>
          <w:tcPr>
            <w:tcW w:w="1382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lang w:val="it-IT"/>
              </w:rPr>
            </w:pPr>
            <w:r w:rsidRPr="001972CB">
              <w:rPr>
                <w:rFonts w:cstheme="minorHAnsi"/>
                <w:lang w:val="it-IT"/>
              </w:rPr>
              <w:t>Dommage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lang w:val="it-IT"/>
              </w:rPr>
            </w:pPr>
            <w:r w:rsidRPr="001972CB">
              <w:rPr>
                <w:rFonts w:cstheme="minorHAnsi"/>
                <w:lang w:val="it-IT"/>
              </w:rPr>
              <w:t>matériel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b w:val="0"/>
                <w:lang w:val="fr-FR"/>
              </w:rPr>
            </w:pPr>
            <w:r w:rsidRPr="001972CB">
              <w:rPr>
                <w:rFonts w:cstheme="minorHAnsi"/>
                <w:lang w:val="it-IT"/>
              </w:rPr>
              <w:t>(en EUR)</w:t>
            </w:r>
          </w:p>
        </w:tc>
        <w:tc>
          <w:tcPr>
            <w:tcW w:w="1256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lang w:val="it-IT"/>
              </w:rPr>
            </w:pPr>
            <w:r w:rsidRPr="001972CB">
              <w:rPr>
                <w:rFonts w:cstheme="minorHAnsi"/>
                <w:lang w:val="it-IT"/>
              </w:rPr>
              <w:t>Dommage moral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b w:val="0"/>
              </w:rPr>
            </w:pPr>
            <w:r w:rsidRPr="001972CB">
              <w:rPr>
                <w:rFonts w:cstheme="minorHAnsi"/>
                <w:lang w:val="it-IT"/>
              </w:rPr>
              <w:t>(en EUR)</w:t>
            </w:r>
          </w:p>
        </w:tc>
        <w:tc>
          <w:tcPr>
            <w:tcW w:w="1176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lang w:val="fr-FR"/>
              </w:rPr>
            </w:pPr>
            <w:r w:rsidRPr="001972CB">
              <w:rPr>
                <w:rFonts w:cstheme="minorHAnsi"/>
                <w:lang w:val="fr-FR"/>
              </w:rPr>
              <w:t>Frais et dépens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b w:val="0"/>
                <w:lang w:val="fr-FR"/>
              </w:rPr>
            </w:pPr>
            <w:r w:rsidRPr="001972CB">
              <w:rPr>
                <w:rFonts w:cstheme="minorHAnsi"/>
                <w:lang w:val="fr-FR"/>
              </w:rPr>
              <w:t xml:space="preserve"> (en EUR)</w:t>
            </w:r>
          </w:p>
        </w:tc>
        <w:tc>
          <w:tcPr>
            <w:tcW w:w="108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lang w:val="it-IT"/>
              </w:rPr>
            </w:pPr>
            <w:r w:rsidRPr="001972CB">
              <w:rPr>
                <w:rFonts w:cstheme="minorHAnsi"/>
                <w:lang w:val="it-IT"/>
              </w:rPr>
              <w:t>Total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  <w:lang w:val="it-IT"/>
              </w:rPr>
              <w:t>(en EUR)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17799/10</w:t>
            </w:r>
          </w:p>
        </w:tc>
        <w:tc>
          <w:tcPr>
            <w:tcW w:w="1742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19/03/2010</w:t>
            </w: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Vito RIZZELLO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28/06/1940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Lecce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10 091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15 591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27923/10</w:t>
            </w:r>
          </w:p>
        </w:tc>
        <w:tc>
          <w:tcPr>
            <w:tcW w:w="1742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11/05/2010</w:t>
            </w: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Pantaleo NEGRO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31/07/1940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Ruffano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5 843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11 343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67551/10</w:t>
            </w:r>
          </w:p>
        </w:tc>
        <w:tc>
          <w:tcPr>
            <w:tcW w:w="1742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05/11/2010</w:t>
            </w: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Luigi GERVASI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22/05/1940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Martano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5 959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11 459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  <w:vMerge w:val="restart"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  <w:vMerge w:val="restart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18230/11</w:t>
            </w:r>
          </w:p>
        </w:tc>
        <w:tc>
          <w:tcPr>
            <w:tcW w:w="1742" w:type="dxa"/>
            <w:vMerge w:val="restart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10/03/2011</w:t>
            </w: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Lorenza ROTONDO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14/01/1943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Corigliano D</w:t>
            </w:r>
            <w:r w:rsidR="001972CB" w:rsidRPr="001972CB">
              <w:rPr>
                <w:rFonts w:cstheme="minorHAnsi"/>
              </w:rPr>
              <w:t>’</w:t>
            </w:r>
            <w:r w:rsidRPr="001972CB">
              <w:rPr>
                <w:rFonts w:cstheme="minorHAnsi"/>
              </w:rPr>
              <w:t>Otranto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714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2 500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3 714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  <w:vMerge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  <w:vMerge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742" w:type="dxa"/>
            <w:vMerge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Alfredo DE GIOVANNI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lang w:val="it-IT"/>
              </w:rPr>
            </w:pPr>
            <w:r w:rsidRPr="001972CB">
              <w:rPr>
                <w:rFonts w:cstheme="minorHAnsi"/>
                <w:lang w:val="it-IT"/>
              </w:rPr>
              <w:t>27/04/1944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lang w:val="it-IT"/>
              </w:rPr>
            </w:pPr>
            <w:r w:rsidRPr="001972CB">
              <w:rPr>
                <w:rFonts w:cstheme="minorHAnsi"/>
                <w:lang w:val="it-IT"/>
              </w:rPr>
              <w:t>Corigliano D</w:t>
            </w:r>
            <w:r w:rsidR="001972CB" w:rsidRPr="001972CB">
              <w:rPr>
                <w:rFonts w:cstheme="minorHAnsi"/>
                <w:lang w:val="it-IT"/>
              </w:rPr>
              <w:t>’</w:t>
            </w:r>
            <w:r w:rsidRPr="001972CB">
              <w:rPr>
                <w:rFonts w:cstheme="minorHAnsi"/>
                <w:lang w:val="it-IT"/>
              </w:rPr>
              <w:t>Otranto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lang w:val="it-IT"/>
              </w:rPr>
            </w:pPr>
            <w:r w:rsidRPr="001972CB">
              <w:rPr>
                <w:rFonts w:cstheme="minorHAnsi"/>
                <w:lang w:val="it-IT"/>
              </w:rPr>
              <w:t>Décédé le 26/06/2012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</w:p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Héritiers :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Rita CHIRONI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27/03/1942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Enrico DE GIOVANNI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20/03/1964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Iride Assunta DE GIOVANNI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11/05/1965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Paride Marco DE GIOVANNI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12/05/1972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Ettore DE GIOVANNI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b/>
                <w:lang w:val="it-IT"/>
              </w:rPr>
            </w:pPr>
            <w:r w:rsidRPr="001972CB">
              <w:rPr>
                <w:rFonts w:cstheme="minorHAnsi"/>
              </w:rPr>
              <w:t>18/02/1976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6 456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11 956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  <w:vMerge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  <w:vMerge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742" w:type="dxa"/>
            <w:vMerge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Giovanni LIONETTO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12/08/1945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</w:rPr>
              <w:t>Maglie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11 433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16 933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  <w:vMerge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  <w:vMerge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742" w:type="dxa"/>
            <w:vMerge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Giovanni DE GIUSEPPE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23/06/1942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</w:rPr>
              <w:t>Minervino di Lecce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10 104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15 604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37764/11</w:t>
            </w:r>
          </w:p>
        </w:tc>
        <w:tc>
          <w:tcPr>
            <w:tcW w:w="1742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10/06/2011</w:t>
            </w: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Benito ELIA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19/12/1939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Spongano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8 315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13 815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47181/11</w:t>
            </w:r>
          </w:p>
        </w:tc>
        <w:tc>
          <w:tcPr>
            <w:tcW w:w="1742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18/07/2011</w:t>
            </w: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Filippo CARROZZO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29/10/1946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 xml:space="preserve">Diso 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5 954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11 454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65762/13</w:t>
            </w:r>
          </w:p>
        </w:tc>
        <w:tc>
          <w:tcPr>
            <w:tcW w:w="1742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08/10/2013</w:t>
            </w: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Antonio BOLOGNESE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28/05/1942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Carpignano Salentino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9 843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15 343</w:t>
            </w:r>
          </w:p>
        </w:tc>
      </w:tr>
      <w:tr w:rsidR="00900D1E" w:rsidRPr="001972CB" w:rsidTr="006B7E0E">
        <w:trPr>
          <w:cantSplit/>
          <w:jc w:val="center"/>
        </w:trPr>
        <w:tc>
          <w:tcPr>
            <w:tcW w:w="570" w:type="dxa"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11409/14</w:t>
            </w:r>
          </w:p>
        </w:tc>
        <w:tc>
          <w:tcPr>
            <w:tcW w:w="1742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28/01/2014</w:t>
            </w: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Cesario STANCA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29/01/1941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Maglie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6 911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12 411</w:t>
            </w:r>
          </w:p>
        </w:tc>
      </w:tr>
      <w:tr w:rsidR="00900D1E" w:rsidRPr="001972CB" w:rsidTr="006B7E0E">
        <w:trPr>
          <w:jc w:val="center"/>
        </w:trPr>
        <w:tc>
          <w:tcPr>
            <w:tcW w:w="570" w:type="dxa"/>
          </w:tcPr>
          <w:p w:rsidR="00900D1E" w:rsidRPr="001972CB" w:rsidRDefault="00900D1E" w:rsidP="001972C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160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26949/14</w:t>
            </w:r>
          </w:p>
        </w:tc>
        <w:tc>
          <w:tcPr>
            <w:tcW w:w="1742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20/03/2014</w:t>
            </w:r>
          </w:p>
        </w:tc>
        <w:tc>
          <w:tcPr>
            <w:tcW w:w="2388" w:type="dxa"/>
          </w:tcPr>
          <w:p w:rsidR="00900D1E" w:rsidRPr="001972CB" w:rsidRDefault="00900D1E" w:rsidP="001972CB">
            <w:pPr>
              <w:jc w:val="left"/>
              <w:rPr>
                <w:rFonts w:cstheme="minorHAnsi"/>
                <w:b/>
              </w:rPr>
            </w:pPr>
            <w:r w:rsidRPr="001972CB">
              <w:rPr>
                <w:rFonts w:cstheme="minorHAnsi"/>
                <w:b/>
              </w:rPr>
              <w:t>Donato D</w:t>
            </w:r>
            <w:r w:rsidR="001972CB" w:rsidRPr="001972CB">
              <w:rPr>
                <w:rFonts w:cstheme="minorHAnsi"/>
                <w:b/>
              </w:rPr>
              <w:t>’</w:t>
            </w:r>
            <w:r w:rsidRPr="001972CB">
              <w:rPr>
                <w:rFonts w:cstheme="minorHAnsi"/>
                <w:b/>
              </w:rPr>
              <w:t>URSO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23/11/1943</w:t>
            </w:r>
          </w:p>
          <w:p w:rsidR="00900D1E" w:rsidRPr="001972CB" w:rsidRDefault="00900D1E" w:rsidP="001972CB">
            <w:pPr>
              <w:jc w:val="left"/>
              <w:rPr>
                <w:rFonts w:cstheme="minorHAnsi"/>
              </w:rPr>
            </w:pPr>
            <w:r w:rsidRPr="001972CB">
              <w:rPr>
                <w:rFonts w:cstheme="minorHAnsi"/>
              </w:rPr>
              <w:t>Lecce</w:t>
            </w:r>
          </w:p>
        </w:tc>
        <w:tc>
          <w:tcPr>
            <w:tcW w:w="1382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8 706</w:t>
            </w:r>
          </w:p>
        </w:tc>
        <w:tc>
          <w:tcPr>
            <w:tcW w:w="125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176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080" w:type="dxa"/>
            <w:vAlign w:val="bottom"/>
          </w:tcPr>
          <w:p w:rsidR="00900D1E" w:rsidRPr="001972CB" w:rsidRDefault="00900D1E" w:rsidP="001972CB">
            <w:pPr>
              <w:jc w:val="left"/>
              <w:rPr>
                <w:rFonts w:cstheme="minorHAnsi"/>
                <w:color w:val="000000"/>
              </w:rPr>
            </w:pPr>
            <w:r w:rsidRPr="001972CB">
              <w:rPr>
                <w:rFonts w:cstheme="minorHAnsi"/>
                <w:color w:val="000000"/>
              </w:rPr>
              <w:t>14 206</w:t>
            </w:r>
          </w:p>
        </w:tc>
      </w:tr>
    </w:tbl>
    <w:p w:rsidR="00900D1E" w:rsidRPr="001972CB" w:rsidRDefault="00900D1E" w:rsidP="001972CB"/>
    <w:sectPr w:rsidR="00900D1E" w:rsidRPr="001972C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10" w:rsidRPr="007A6280" w:rsidRDefault="00345E10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345E10" w:rsidRPr="007A6280" w:rsidRDefault="00345E10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1E" w:rsidRPr="00150BFA" w:rsidRDefault="00900D1E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897B2CD" wp14:editId="6EB351B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345E10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10" w:rsidRPr="007A6280" w:rsidRDefault="00345E10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345E10" w:rsidRPr="007A6280" w:rsidRDefault="00345E10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00D1E" w:rsidRDefault="00900D1E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900D1E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821331">
      <w:rPr>
        <w:rStyle w:val="Numeropagina"/>
        <w:noProof/>
        <w:lang w:val="fr-FR"/>
      </w:rPr>
      <w:t>6</w:t>
    </w:r>
    <w:r>
      <w:rPr>
        <w:rStyle w:val="Numeropagina"/>
      </w:rPr>
      <w:fldChar w:fldCharType="end"/>
    </w:r>
    <w:r w:rsidR="00334EC5" w:rsidRPr="00900D1E">
      <w:rPr>
        <w:lang w:val="fr-FR"/>
      </w:rPr>
      <w:tab/>
      <w:t xml:space="preserve">DÉCISION </w:t>
    </w:r>
    <w:r w:rsidRPr="00900D1E">
      <w:rPr>
        <w:lang w:val="fr-FR"/>
      </w:rPr>
      <w:t>RIZZELLO c. ITALIE</w:t>
    </w:r>
    <w:r w:rsidRPr="00900D1E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00D1E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900D1E">
      <w:rPr>
        <w:lang w:val="fr-FR"/>
      </w:rPr>
      <w:t xml:space="preserve">DÉCISION </w:t>
    </w:r>
    <w:r w:rsidR="00900D1E" w:rsidRPr="00900D1E">
      <w:rPr>
        <w:lang w:val="fr-FR"/>
      </w:rPr>
      <w:t>RIZZELLO c. ITALIE</w:t>
    </w:r>
    <w:r w:rsidR="00900D1E" w:rsidRPr="00900D1E">
      <w:rPr>
        <w:noProof/>
        <w:lang w:val="fr-FR"/>
      </w:rPr>
      <w:t xml:space="preserve"> ET AUTRES REQUÊTES</w:t>
    </w:r>
    <w:r w:rsidRPr="00900D1E">
      <w:rPr>
        <w:lang w:val="fr-FR"/>
      </w:rPr>
      <w:tab/>
    </w:r>
    <w:r w:rsidR="00900D1E">
      <w:rPr>
        <w:rStyle w:val="Numeropagina"/>
      </w:rPr>
      <w:fldChar w:fldCharType="begin"/>
    </w:r>
    <w:r w:rsidR="00900D1E" w:rsidRPr="00900D1E">
      <w:rPr>
        <w:rStyle w:val="Numeropagina"/>
        <w:lang w:val="fr-FR"/>
      </w:rPr>
      <w:instrText xml:space="preserve"> PAGE </w:instrText>
    </w:r>
    <w:r w:rsidR="00900D1E">
      <w:rPr>
        <w:rStyle w:val="Numeropagina"/>
      </w:rPr>
      <w:fldChar w:fldCharType="separate"/>
    </w:r>
    <w:r w:rsidR="00821331">
      <w:rPr>
        <w:rStyle w:val="Numeropagina"/>
        <w:noProof/>
        <w:lang w:val="fr-FR"/>
      </w:rPr>
      <w:t>5</w:t>
    </w:r>
    <w:r w:rsidR="00900D1E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1E" w:rsidRPr="00A45145" w:rsidRDefault="00900D1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CE66FB3" wp14:editId="1F57DFB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345E10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F73DF5"/>
    <w:multiLevelType w:val="hybridMultilevel"/>
    <w:tmpl w:val="658E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3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EMM" w:val="0"/>
    <w:docVar w:name="NBEMMDOC" w:val="0"/>
  </w:docVars>
  <w:rsids>
    <w:rsidRoot w:val="00900D1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972CB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45E10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19CD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B7E0E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172C3"/>
    <w:rsid w:val="008204C7"/>
    <w:rsid w:val="00820992"/>
    <w:rsid w:val="00821331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0D1E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0585"/>
    <w:rsid w:val="00A724AE"/>
    <w:rsid w:val="00A73329"/>
    <w:rsid w:val="00A82359"/>
    <w:rsid w:val="00A865D2"/>
    <w:rsid w:val="00A94C20"/>
    <w:rsid w:val="00A95ED7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B7E0E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B7E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B7E0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B7E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B7E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B7E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B7E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B7E0E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B7E0E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B7E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B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E0E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6B7E0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B7E0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6B7E0E"/>
    <w:rPr>
      <w:color w:val="00B050"/>
    </w:rPr>
  </w:style>
  <w:style w:type="character" w:styleId="Enfasigrassetto">
    <w:name w:val="Strong"/>
    <w:uiPriority w:val="99"/>
    <w:semiHidden/>
    <w:qFormat/>
    <w:rsid w:val="006B7E0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B7E0E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B7E0E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6B7E0E"/>
    <w:pPr>
      <w:numPr>
        <w:numId w:val="30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link w:val="JuQuotChar"/>
    <w:uiPriority w:val="14"/>
    <w:qFormat/>
    <w:rsid w:val="006B7E0E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6B7E0E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6B7E0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6B7E0E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6B7E0E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B7E0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6B7E0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6B7E0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6B7E0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6B7E0E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B7E0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B7E0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6B7E0E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6B7E0E"/>
    <w:pPr>
      <w:ind w:left="794"/>
    </w:pPr>
  </w:style>
  <w:style w:type="character" w:customStyle="1" w:styleId="JUNAMES">
    <w:name w:val="JU_NAMES"/>
    <w:uiPriority w:val="17"/>
    <w:qFormat/>
    <w:rsid w:val="006B7E0E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6B7E0E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6B7E0E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6B7E0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6B7E0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B7E0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6B7E0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B7E0E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B7E0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B7E0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B7E0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B7E0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B7E0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B7E0E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B7E0E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6B7E0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B7E0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B7E0E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B7E0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B7E0E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6B7E0E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6B7E0E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6B7E0E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6B7E0E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6B7E0E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6B7E0E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B7E0E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B7E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B7E0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B7E0E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6B7E0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B7E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7E0E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B7E0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B7E0E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B7E0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B7E0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B7E0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B7E0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B7E0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B7E0E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B7E0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B7E0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B7E0E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B7E0E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B7E0E"/>
    <w:rPr>
      <w:smallCaps/>
    </w:rPr>
  </w:style>
  <w:style w:type="table" w:styleId="Grigliatabella">
    <w:name w:val="Table Grid"/>
    <w:basedOn w:val="Tabellanormale"/>
    <w:uiPriority w:val="59"/>
    <w:semiHidden/>
    <w:rsid w:val="006B7E0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B7E0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B7E0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B7E0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B7E0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B7E0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6B7E0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B7E0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6B7E0E"/>
  </w:style>
  <w:style w:type="paragraph" w:customStyle="1" w:styleId="OpiQuot">
    <w:name w:val="Opi_Quot"/>
    <w:basedOn w:val="ECHRParaQuote"/>
    <w:uiPriority w:val="48"/>
    <w:semiHidden/>
    <w:qFormat/>
    <w:rsid w:val="006B7E0E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B7E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6B7E0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B7E0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B7E0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B7E0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6B7E0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B7E0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B7E0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B7E0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B7E0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6B7E0E"/>
  </w:style>
  <w:style w:type="paragraph" w:customStyle="1" w:styleId="ECHRFooter">
    <w:name w:val="ECHR_Footer"/>
    <w:aliases w:val="Footer_ECHR"/>
    <w:basedOn w:val="Pidipagina"/>
    <w:uiPriority w:val="57"/>
    <w:semiHidden/>
    <w:rsid w:val="006B7E0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B7E0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B7E0E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locked/>
    <w:rsid w:val="00900D1E"/>
    <w:rPr>
      <w:rFonts w:eastAsiaTheme="minorEastAsia"/>
      <w:sz w:val="24"/>
      <w:lang w:val="en-GB"/>
    </w:rPr>
  </w:style>
  <w:style w:type="character" w:customStyle="1" w:styleId="JuQuotChar">
    <w:name w:val="Ju_Quot Char"/>
    <w:basedOn w:val="Carpredefinitoparagrafo"/>
    <w:link w:val="ECHRParaQuote"/>
    <w:uiPriority w:val="14"/>
    <w:rsid w:val="00900D1E"/>
    <w:rPr>
      <w:rFonts w:eastAsiaTheme="minorEastAsi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4395-D076-407F-A0CB-7EA23FBA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0757C-BC4B-46AA-A0A0-2997EFC47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63C53-5A26-40E6-BA2B-A3B0F31B4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52F5F1-D2DC-47CE-9F91-B8FFD994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2018-03-27T12:22:00Z</dcterms:created>
  <dcterms:modified xsi:type="dcterms:W3CDTF">2018-03-27T12:22:00Z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17799/10</vt:lpwstr>
  </property>
  <property fmtid="{D5CDD505-2E9C-101B-9397-08002B2CF9AE}" pid="4" name="CASEID">
    <vt:lpwstr>631793</vt:lpwstr>
  </property>
  <property fmtid="{D5CDD505-2E9C-101B-9397-08002B2CF9AE}" pid="5" name="ContentTypeId">
    <vt:lpwstr>0x010100558EB02BDB9E204AB350EDD385B68E10</vt:lpwstr>
  </property>
</Properties>
</file>